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等线"/>
          <w:b/>
          <w:bCs/>
          <w:sz w:val="28"/>
          <w:szCs w:val="28"/>
        </w:rPr>
      </w:pPr>
      <w:r>
        <w:rPr>
          <w:rFonts w:hint="eastAsia" w:eastAsia="等线"/>
          <w:b/>
          <w:bCs/>
          <w:sz w:val="28"/>
          <w:szCs w:val="28"/>
        </w:rPr>
        <w:t>Taq SYBR</w:t>
      </w:r>
      <w:r>
        <w:rPr>
          <w:rFonts w:hint="eastAsia" w:eastAsia="等线"/>
          <w:b/>
          <w:bCs/>
          <w:sz w:val="28"/>
          <w:szCs w:val="28"/>
          <w:vertAlign w:val="superscript"/>
        </w:rPr>
        <w:t>®</w:t>
      </w:r>
      <w:r>
        <w:rPr>
          <w:rFonts w:hint="eastAsia" w:eastAsia="等线"/>
          <w:b/>
          <w:bCs/>
          <w:sz w:val="28"/>
          <w:szCs w:val="28"/>
        </w:rPr>
        <w:t xml:space="preserve"> Green qPCR Premix </w:t>
      </w:r>
      <w:r>
        <w:rPr>
          <w:rFonts w:eastAsia="等线"/>
          <w:b/>
          <w:bCs/>
          <w:sz w:val="28"/>
          <w:szCs w:val="28"/>
        </w:rPr>
        <w:t xml:space="preserve"> (None/Low/High ROX &amp; Universal)</w:t>
      </w:r>
    </w:p>
    <w:p>
      <w:pPr>
        <w:rPr>
          <w:rFonts w:eastAsia="微软雅黑"/>
          <w:b/>
          <w:bCs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  <w:lang w:bidi="ar"/>
        </w:rPr>
        <w:t>REF: MP00</w:t>
      </w:r>
      <w:r>
        <w:rPr>
          <w:rFonts w:hint="eastAsia" w:eastAsia="TimesNewRomanPSMT"/>
          <w:color w:val="000000"/>
          <w:sz w:val="24"/>
          <w:szCs w:val="24"/>
          <w:lang w:bidi="ar"/>
        </w:rPr>
        <w:t>8</w:t>
      </w:r>
      <w:r>
        <w:rPr>
          <w:rFonts w:eastAsia="TimesNewRomanPSMT"/>
          <w:color w:val="000000"/>
          <w:sz w:val="24"/>
          <w:szCs w:val="24"/>
          <w:lang w:bidi="ar"/>
        </w:rPr>
        <w:t>/MP00</w:t>
      </w:r>
      <w:r>
        <w:rPr>
          <w:rFonts w:hint="eastAsia" w:eastAsia="TimesNewRomanPSMT"/>
          <w:color w:val="000000"/>
          <w:sz w:val="24"/>
          <w:szCs w:val="24"/>
          <w:lang w:bidi="ar"/>
        </w:rPr>
        <w:t>9</w:t>
      </w:r>
      <w:r>
        <w:rPr>
          <w:rFonts w:eastAsia="TimesNewRomanPSMT"/>
          <w:color w:val="000000"/>
          <w:sz w:val="24"/>
          <w:szCs w:val="24"/>
          <w:lang w:bidi="ar"/>
        </w:rPr>
        <w:t>/MP0</w:t>
      </w:r>
      <w:r>
        <w:rPr>
          <w:rFonts w:hint="eastAsia" w:eastAsia="TimesNewRomanPSMT"/>
          <w:color w:val="000000"/>
          <w:sz w:val="24"/>
          <w:szCs w:val="24"/>
          <w:lang w:bidi="ar"/>
        </w:rPr>
        <w:t>10</w:t>
      </w:r>
      <w:r>
        <w:rPr>
          <w:rFonts w:eastAsia="TimesNewRomanPSMT"/>
          <w:color w:val="000000"/>
          <w:sz w:val="24"/>
          <w:szCs w:val="24"/>
          <w:lang w:bidi="ar"/>
        </w:rPr>
        <w:t>/MP023</w:t>
      </w:r>
    </w:p>
    <w:p>
      <w:pPr>
        <w:jc w:val="both"/>
        <w:rPr>
          <w:rFonts w:eastAsia="宋体"/>
          <w:sz w:val="24"/>
          <w:szCs w:val="24"/>
        </w:rPr>
      </w:pPr>
      <w:r>
        <w:rPr>
          <w:rFonts w:eastAsia="微软雅黑"/>
          <w:b/>
          <w:bCs/>
          <w:sz w:val="24"/>
          <w:szCs w:val="24"/>
        </w:rPr>
        <w:t>储运条件</w:t>
      </w:r>
    </w:p>
    <w:p>
      <w:pPr>
        <w:jc w:val="both"/>
        <w:rPr>
          <w:rFonts w:eastAsia="宋体"/>
          <w:sz w:val="18"/>
          <w:szCs w:val="18"/>
        </w:rPr>
      </w:pPr>
      <w:r>
        <w:rPr>
          <w:rFonts w:eastAsia="宋体"/>
          <w:sz w:val="18"/>
          <w:szCs w:val="18"/>
        </w:rPr>
        <w:t>长期保存请于 -20℃避光保存，Mix 融解后可在4℃避光条件下稳定存放一个月，尽量避免反复冻融。</w:t>
      </w:r>
    </w:p>
    <w:p>
      <w:pPr>
        <w:spacing w:before="312" w:beforeLines="100" w:line="274" w:lineRule="exact"/>
        <w:jc w:val="both"/>
        <w:rPr>
          <w:rFonts w:eastAsia="微软雅黑"/>
          <w:b/>
          <w:bCs/>
          <w:sz w:val="24"/>
          <w:szCs w:val="24"/>
        </w:rPr>
      </w:pPr>
      <w:r>
        <w:rPr>
          <w:rFonts w:eastAsia="微软雅黑"/>
          <w:b/>
          <w:bCs/>
          <w:sz w:val="24"/>
          <w:szCs w:val="24"/>
        </w:rPr>
        <w:t>产品组成</w:t>
      </w:r>
    </w:p>
    <w:tbl>
      <w:tblPr>
        <w:tblStyle w:val="6"/>
        <w:tblW w:w="517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767"/>
        <w:gridCol w:w="888"/>
        <w:gridCol w:w="881"/>
        <w:gridCol w:w="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exact"/>
          <w:jc w:val="center"/>
        </w:trPr>
        <w:tc>
          <w:tcPr>
            <w:tcW w:w="166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70" w:lineRule="exact"/>
              <w:ind w:left="60"/>
              <w:jc w:val="center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eastAsia="宋体"/>
                <w:b/>
                <w:bCs/>
                <w:sz w:val="16"/>
                <w:szCs w:val="16"/>
              </w:rPr>
              <w:t>组分/规格</w:t>
            </w:r>
          </w:p>
          <w:p>
            <w:pPr>
              <w:spacing w:line="170" w:lineRule="exact"/>
              <w:ind w:left="60"/>
              <w:jc w:val="center"/>
              <w:rPr>
                <w:rFonts w:eastAsia="宋体"/>
                <w:b/>
                <w:bCs/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70" w:lineRule="exact"/>
              <w:ind w:left="60"/>
              <w:jc w:val="center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eastAsia="宋体"/>
                <w:b/>
                <w:bCs/>
                <w:sz w:val="16"/>
                <w:szCs w:val="16"/>
              </w:rPr>
              <w:t>MP008M</w:t>
            </w:r>
          </w:p>
        </w:tc>
        <w:tc>
          <w:tcPr>
            <w:tcW w:w="88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70" w:lineRule="exact"/>
              <w:ind w:left="60"/>
              <w:jc w:val="center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eastAsia="宋体"/>
                <w:b/>
                <w:bCs/>
                <w:sz w:val="16"/>
                <w:szCs w:val="16"/>
              </w:rPr>
              <w:t>MP009M</w:t>
            </w:r>
          </w:p>
        </w:tc>
        <w:tc>
          <w:tcPr>
            <w:tcW w:w="87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70" w:lineRule="exact"/>
              <w:ind w:left="60"/>
              <w:jc w:val="center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eastAsia="宋体"/>
                <w:b/>
                <w:bCs/>
                <w:sz w:val="16"/>
                <w:szCs w:val="16"/>
              </w:rPr>
              <w:t>MP010M</w:t>
            </w:r>
          </w:p>
        </w:tc>
        <w:tc>
          <w:tcPr>
            <w:tcW w:w="80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170" w:lineRule="exact"/>
              <w:ind w:left="60"/>
              <w:jc w:val="center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hint="eastAsia" w:eastAsia="宋体"/>
                <w:b/>
                <w:bCs/>
                <w:sz w:val="16"/>
                <w:szCs w:val="16"/>
              </w:rPr>
              <w:t>M</w:t>
            </w:r>
            <w:r>
              <w:rPr>
                <w:rFonts w:eastAsia="宋体"/>
                <w:b/>
                <w:bCs/>
                <w:sz w:val="16"/>
                <w:szCs w:val="16"/>
              </w:rPr>
              <w:t>P023M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6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exact"/>
              <w:ind w:left="60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Taq SYBR</w:t>
            </w:r>
            <w:r>
              <w:rPr>
                <w:rFonts w:hint="eastAsia" w:eastAsia="宋体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 w:eastAsia="宋体"/>
                <w:sz w:val="16"/>
                <w:szCs w:val="16"/>
              </w:rPr>
              <w:t xml:space="preserve"> Green qPCR Premix</w:t>
            </w:r>
            <w:r>
              <w:rPr>
                <w:rFonts w:eastAsia="宋体"/>
                <w:sz w:val="16"/>
                <w:szCs w:val="16"/>
              </w:rPr>
              <w:t xml:space="preserve"> (None ROX) </w:t>
            </w:r>
          </w:p>
        </w:tc>
        <w:tc>
          <w:tcPr>
            <w:tcW w:w="7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5×1ml</w:t>
            </w:r>
          </w:p>
        </w:tc>
        <w:tc>
          <w:tcPr>
            <w:tcW w:w="8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_</w:t>
            </w:r>
          </w:p>
        </w:tc>
        <w:tc>
          <w:tcPr>
            <w:tcW w:w="8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_</w:t>
            </w:r>
          </w:p>
        </w:tc>
        <w:tc>
          <w:tcPr>
            <w:tcW w:w="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6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exact"/>
              <w:ind w:left="60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Taq SYBR</w:t>
            </w:r>
            <w:r>
              <w:rPr>
                <w:rFonts w:hint="eastAsia" w:eastAsia="宋体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 w:eastAsia="宋体"/>
                <w:sz w:val="16"/>
                <w:szCs w:val="16"/>
              </w:rPr>
              <w:t xml:space="preserve"> Green qPCR Premix</w:t>
            </w:r>
            <w:r>
              <w:rPr>
                <w:rFonts w:eastAsia="宋体"/>
                <w:sz w:val="16"/>
                <w:szCs w:val="16"/>
              </w:rPr>
              <w:t xml:space="preserve"> (Low ROX) </w:t>
            </w:r>
          </w:p>
        </w:tc>
        <w:tc>
          <w:tcPr>
            <w:tcW w:w="7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_</w:t>
            </w:r>
          </w:p>
        </w:tc>
        <w:tc>
          <w:tcPr>
            <w:tcW w:w="8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5×1ml</w:t>
            </w:r>
          </w:p>
        </w:tc>
        <w:tc>
          <w:tcPr>
            <w:tcW w:w="8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_</w:t>
            </w:r>
          </w:p>
        </w:tc>
        <w:tc>
          <w:tcPr>
            <w:tcW w:w="8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exact"/>
              <w:ind w:left="60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Taq SYBR</w:t>
            </w:r>
            <w:r>
              <w:rPr>
                <w:rFonts w:hint="eastAsia" w:eastAsia="宋体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 w:eastAsia="宋体"/>
                <w:sz w:val="16"/>
                <w:szCs w:val="16"/>
              </w:rPr>
              <w:t xml:space="preserve"> Green qPCR Premix</w:t>
            </w:r>
            <w:r>
              <w:rPr>
                <w:rFonts w:eastAsia="宋体"/>
                <w:sz w:val="16"/>
                <w:szCs w:val="16"/>
              </w:rPr>
              <w:t xml:space="preserve"> (High ROX)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_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_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5×1ml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exact"/>
              <w:ind w:left="60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Taq SYBR</w:t>
            </w:r>
            <w:r>
              <w:rPr>
                <w:rFonts w:hint="eastAsia" w:eastAsia="宋体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 w:eastAsia="宋体"/>
                <w:sz w:val="16"/>
                <w:szCs w:val="16"/>
              </w:rPr>
              <w:t xml:space="preserve"> Green qPCR Premix</w:t>
            </w:r>
            <w:r>
              <w:rPr>
                <w:rFonts w:eastAsia="宋体"/>
                <w:sz w:val="16"/>
                <w:szCs w:val="16"/>
              </w:rPr>
              <w:t xml:space="preserve"> (Universal)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_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_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_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5×1ml</w:t>
            </w:r>
          </w:p>
        </w:tc>
      </w:tr>
    </w:tbl>
    <w:p>
      <w:pPr>
        <w:spacing w:before="312" w:beforeLines="100" w:line="274" w:lineRule="exact"/>
        <w:jc w:val="both"/>
        <w:rPr>
          <w:rFonts w:eastAsia="微软雅黑"/>
          <w:b/>
          <w:bCs/>
          <w:sz w:val="24"/>
          <w:szCs w:val="24"/>
        </w:rPr>
      </w:pPr>
      <w:r>
        <w:rPr>
          <w:rFonts w:eastAsia="微软雅黑"/>
          <w:b/>
          <w:bCs/>
          <w:sz w:val="24"/>
          <w:szCs w:val="24"/>
        </w:rPr>
        <w:t>产品简介</w:t>
      </w:r>
    </w:p>
    <w:p>
      <w:pPr>
        <w:ind w:firstLine="360" w:firstLineChars="200"/>
        <w:rPr>
          <w:rFonts w:eastAsia="宋体"/>
          <w:sz w:val="18"/>
          <w:szCs w:val="18"/>
        </w:rPr>
      </w:pPr>
      <w:r>
        <w:rPr>
          <w:rFonts w:hint="eastAsia" w:eastAsia="宋体"/>
          <w:sz w:val="18"/>
          <w:szCs w:val="18"/>
        </w:rPr>
        <w:t>Taq SYBR</w:t>
      </w:r>
      <w:r>
        <w:rPr>
          <w:rFonts w:hint="eastAsia" w:eastAsia="宋体"/>
          <w:sz w:val="18"/>
          <w:szCs w:val="18"/>
          <w:vertAlign w:val="superscript"/>
        </w:rPr>
        <w:t>®</w:t>
      </w:r>
      <w:r>
        <w:rPr>
          <w:rFonts w:hint="eastAsia" w:eastAsia="宋体"/>
          <w:sz w:val="18"/>
          <w:szCs w:val="18"/>
        </w:rPr>
        <w:t xml:space="preserve"> Green qPCR Premix是SYBR</w:t>
      </w:r>
      <w:r>
        <w:rPr>
          <w:rFonts w:hint="eastAsia" w:eastAsia="宋体"/>
          <w:sz w:val="18"/>
          <w:szCs w:val="18"/>
          <w:vertAlign w:val="superscript"/>
        </w:rPr>
        <w:t>®</w:t>
      </w:r>
      <w:r>
        <w:rPr>
          <w:rFonts w:hint="eastAsia" w:eastAsia="宋体"/>
          <w:sz w:val="18"/>
          <w:szCs w:val="18"/>
        </w:rPr>
        <w:t xml:space="preserve"> Green I嵌合染料法专用qPCR试剂，为2×预混液，包含除引物和DNA样品以外的所有qPCR组分，可减少操作步骤，缩短加样时间，降低污染几率。其核心组分是经</w:t>
      </w:r>
      <w:r>
        <w:rPr>
          <w:rFonts w:hint="eastAsia" w:eastAsia="宋体"/>
          <w:sz w:val="18"/>
          <w:szCs w:val="18"/>
          <w:lang w:val="en-US" w:eastAsia="zh-CN"/>
        </w:rPr>
        <w:t>抗体</w:t>
      </w:r>
      <w:r>
        <w:rPr>
          <w:rFonts w:hint="eastAsia" w:eastAsia="宋体"/>
          <w:sz w:val="18"/>
          <w:szCs w:val="18"/>
        </w:rPr>
        <w:t>修饰的热启动Taq DNA聚合酶，配合精心优化的Buffer体系</w:t>
      </w:r>
      <w:r>
        <w:rPr>
          <w:rFonts w:hint="eastAsia" w:eastAsia="宋体"/>
          <w:sz w:val="18"/>
          <w:szCs w:val="18"/>
          <w:lang w:val="en-US" w:eastAsia="zh-CN"/>
        </w:rPr>
        <w:t>以及PCR反应促进因子</w:t>
      </w:r>
      <w:r>
        <w:rPr>
          <w:rFonts w:hint="eastAsia" w:eastAsia="宋体"/>
          <w:sz w:val="18"/>
          <w:szCs w:val="18"/>
        </w:rPr>
        <w:t>，</w:t>
      </w:r>
      <w:r>
        <w:rPr>
          <w:rFonts w:hint="eastAsia" w:eastAsia="宋体"/>
          <w:sz w:val="18"/>
          <w:szCs w:val="18"/>
          <w:lang w:val="en-US" w:eastAsia="zh-CN"/>
        </w:rPr>
        <w:t>是产品具有特异性强、扩增效率高等特点，</w:t>
      </w:r>
      <w:r>
        <w:rPr>
          <w:rFonts w:hint="eastAsia" w:eastAsia="宋体"/>
          <w:sz w:val="18"/>
          <w:szCs w:val="18"/>
        </w:rPr>
        <w:t>有效抑制非特异性扩增，可对宽广浓度范围的模板进行准确定量，获得稳定可靠的qPCR结果。</w:t>
      </w:r>
    </w:p>
    <w:p>
      <w:pPr>
        <w:spacing w:before="312" w:beforeLines="100" w:line="274" w:lineRule="exact"/>
        <w:jc w:val="both"/>
        <w:rPr>
          <w:rFonts w:eastAsia="微软雅黑"/>
          <w:b/>
          <w:bCs/>
          <w:sz w:val="24"/>
          <w:szCs w:val="24"/>
        </w:rPr>
      </w:pPr>
      <w:r>
        <w:rPr>
          <w:rFonts w:hint="eastAsia" w:eastAsia="微软雅黑"/>
          <w:b/>
          <w:bCs/>
          <w:sz w:val="24"/>
          <w:szCs w:val="24"/>
        </w:rPr>
        <w:t>使用方法</w:t>
      </w:r>
    </w:p>
    <w:p>
      <w:pPr>
        <w:spacing w:line="274" w:lineRule="exact"/>
        <w:jc w:val="both"/>
        <w:rPr>
          <w:rFonts w:eastAsia="宋体"/>
          <w:b/>
          <w:bCs/>
          <w:color w:val="000000"/>
          <w:sz w:val="20"/>
          <w:szCs w:val="20"/>
        </w:rPr>
      </w:pPr>
      <w:r>
        <w:rPr>
          <w:rFonts w:hint="eastAsia" w:eastAsia="微软雅黑"/>
          <w:b/>
          <w:bCs/>
          <w:sz w:val="20"/>
          <w:szCs w:val="20"/>
        </w:rPr>
        <w:t xml:space="preserve">1. </w:t>
      </w:r>
      <w:r>
        <w:rPr>
          <w:rFonts w:eastAsia="微软雅黑"/>
          <w:b/>
          <w:bCs/>
          <w:sz w:val="20"/>
          <w:szCs w:val="20"/>
        </w:rPr>
        <w:t>适用机型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2" w:type="dxa"/>
          </w:tcPr>
          <w:p>
            <w:pPr>
              <w:spacing w:line="274" w:lineRule="exact"/>
              <w:jc w:val="both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产品</w:t>
            </w:r>
          </w:p>
        </w:tc>
        <w:tc>
          <w:tcPr>
            <w:tcW w:w="3287" w:type="dxa"/>
          </w:tcPr>
          <w:p>
            <w:pPr>
              <w:spacing w:line="274" w:lineRule="exact"/>
              <w:jc w:val="both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适用机型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762" w:type="dxa"/>
            <w:vAlign w:val="center"/>
          </w:tcPr>
          <w:p>
            <w:pPr>
              <w:spacing w:line="274" w:lineRule="exact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MP00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宋体"/>
                <w:sz w:val="16"/>
                <w:szCs w:val="16"/>
              </w:rPr>
              <w:t>(None ROX)</w:t>
            </w:r>
          </w:p>
        </w:tc>
        <w:tc>
          <w:tcPr>
            <w:tcW w:w="3287" w:type="dxa"/>
            <w:vAlign w:val="center"/>
          </w:tcPr>
          <w:p>
            <w:pPr>
              <w:spacing w:line="274" w:lineRule="exact"/>
              <w:jc w:val="both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Bio-Rad CFX 全系列；</w:t>
            </w:r>
          </w:p>
          <w:p>
            <w:pPr>
              <w:spacing w:line="274" w:lineRule="exact"/>
              <w:jc w:val="both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Roche LightCycler™ 系列；</w:t>
            </w:r>
          </w:p>
          <w:p>
            <w:pPr>
              <w:spacing w:line="274" w:lineRule="exact"/>
              <w:jc w:val="both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Eppendorf Mastercycler® ep realplex 系列；</w:t>
            </w:r>
          </w:p>
          <w:p>
            <w:pPr>
              <w:spacing w:line="274" w:lineRule="exact"/>
              <w:jc w:val="both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Qiagen/Corbett Rotor-Gene® 系列；</w:t>
            </w:r>
          </w:p>
          <w:p>
            <w:pPr>
              <w:spacing w:line="274" w:lineRule="exact"/>
              <w:jc w:val="both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Takara Thermal Cycler Dice；</w:t>
            </w:r>
          </w:p>
          <w:p>
            <w:pPr>
              <w:spacing w:line="274" w:lineRule="exact"/>
              <w:jc w:val="both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analytikjena qTOWER系列等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762" w:type="dxa"/>
            <w:vAlign w:val="center"/>
          </w:tcPr>
          <w:p>
            <w:pPr>
              <w:spacing w:line="274" w:lineRule="exact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MP00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宋体"/>
                <w:sz w:val="16"/>
                <w:szCs w:val="16"/>
              </w:rPr>
              <w:t>(Low ROX)</w:t>
            </w:r>
          </w:p>
        </w:tc>
        <w:tc>
          <w:tcPr>
            <w:tcW w:w="3287" w:type="dxa"/>
            <w:vAlign w:val="center"/>
          </w:tcPr>
          <w:p>
            <w:pPr>
              <w:spacing w:line="274" w:lineRule="exact"/>
              <w:jc w:val="both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ABI 7500/7500 Fast，ABI ViiA 7™；</w:t>
            </w:r>
          </w:p>
          <w:p>
            <w:pPr>
              <w:spacing w:line="274" w:lineRule="exact"/>
              <w:jc w:val="both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ABI QuantStudio™ 系列；</w:t>
            </w:r>
          </w:p>
          <w:p>
            <w:pPr>
              <w:spacing w:line="274" w:lineRule="exact"/>
              <w:jc w:val="both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Stratagene Mx3000P®/3005P™/4000™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2" w:type="dxa"/>
            <w:vAlign w:val="center"/>
          </w:tcPr>
          <w:p>
            <w:pPr>
              <w:spacing w:line="274" w:lineRule="exact"/>
              <w:jc w:val="both"/>
              <w:rPr>
                <w:rFonts w:eastAsia="宋体"/>
                <w:color w:val="000000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eastAsia="宋体"/>
                <w:color w:val="000000"/>
                <w:sz w:val="18"/>
                <w:szCs w:val="18"/>
              </w:rPr>
              <w:t>MP0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宋体"/>
                <w:sz w:val="16"/>
                <w:szCs w:val="16"/>
              </w:rPr>
              <w:t>(High ROX)</w:t>
            </w:r>
          </w:p>
        </w:tc>
        <w:tc>
          <w:tcPr>
            <w:tcW w:w="3287" w:type="dxa"/>
          </w:tcPr>
          <w:p>
            <w:pPr>
              <w:spacing w:line="274" w:lineRule="exact"/>
              <w:jc w:val="both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ABI 7000/7300/7700/7900 HT/7900 HT Fast，StepOne™，StepOne Plus™等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2" w:type="dxa"/>
            <w:vAlign w:val="center"/>
          </w:tcPr>
          <w:p>
            <w:pPr>
              <w:spacing w:line="274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M</w:t>
            </w:r>
            <w:r>
              <w:rPr>
                <w:rFonts w:eastAsia="宋体"/>
                <w:color w:val="000000"/>
                <w:sz w:val="18"/>
                <w:szCs w:val="18"/>
              </w:rPr>
              <w:t>P02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（Universal）</w:t>
            </w:r>
          </w:p>
        </w:tc>
        <w:tc>
          <w:tcPr>
            <w:tcW w:w="3287" w:type="dxa"/>
            <w:vAlign w:val="center"/>
          </w:tcPr>
          <w:p>
            <w:pPr>
              <w:spacing w:line="274" w:lineRule="exact"/>
              <w:jc w:val="both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hint="eastAsia" w:eastAsia="宋体"/>
                <w:color w:val="000000"/>
                <w:sz w:val="16"/>
                <w:szCs w:val="16"/>
              </w:rPr>
              <w:t>全机型通用</w:t>
            </w:r>
          </w:p>
        </w:tc>
      </w:tr>
    </w:tbl>
    <w:p>
      <w:pPr>
        <w:spacing w:line="274" w:lineRule="exact"/>
        <w:jc w:val="both"/>
        <w:rPr>
          <w:rFonts w:eastAsia="微软雅黑"/>
          <w:b/>
          <w:bCs/>
        </w:rPr>
      </w:pPr>
    </w:p>
    <w:p>
      <w:pPr>
        <w:numPr>
          <w:ilvl w:val="0"/>
          <w:numId w:val="1"/>
        </w:numPr>
        <w:spacing w:line="274" w:lineRule="exact"/>
        <w:jc w:val="both"/>
        <w:rPr>
          <w:rFonts w:eastAsia="微软雅黑"/>
          <w:b/>
          <w:bCs/>
          <w:sz w:val="20"/>
          <w:szCs w:val="20"/>
        </w:rPr>
      </w:pPr>
      <w:r>
        <w:rPr>
          <w:rFonts w:eastAsia="微软雅黑"/>
          <w:b/>
          <w:bCs/>
          <w:sz w:val="20"/>
          <w:szCs w:val="20"/>
        </w:rPr>
        <w:t>使用注意</w:t>
      </w:r>
    </w:p>
    <w:p>
      <w:pPr>
        <w:rPr>
          <w:rFonts w:eastAsia="宋体"/>
          <w:sz w:val="18"/>
          <w:szCs w:val="18"/>
        </w:rPr>
      </w:pPr>
      <w:r>
        <w:rPr>
          <w:rFonts w:eastAsia="宋体"/>
          <w:sz w:val="18"/>
          <w:szCs w:val="18"/>
        </w:rPr>
        <w:t>① 因 Mix 中预混有染料，其保存或反应体系配制过程应避免强光照射；</w:t>
      </w:r>
    </w:p>
    <w:p>
      <w:pPr>
        <w:rPr>
          <w:rFonts w:eastAsia="宋体"/>
          <w:sz w:val="18"/>
          <w:szCs w:val="18"/>
        </w:rPr>
      </w:pPr>
      <w:r>
        <w:rPr>
          <w:rFonts w:eastAsia="宋体"/>
          <w:sz w:val="18"/>
          <w:szCs w:val="18"/>
        </w:rPr>
        <w:t>② 使用前上下颠倒轻轻混匀 Mix，请勿涡旋振荡混匀，避免产生过多气泡。</w:t>
      </w:r>
    </w:p>
    <w:p>
      <w:pPr>
        <w:spacing w:line="274" w:lineRule="exact"/>
        <w:jc w:val="both"/>
        <w:rPr>
          <w:rFonts w:hint="eastAsia" w:eastAsia="微软雅黑"/>
          <w:b/>
          <w:bCs/>
          <w:sz w:val="20"/>
          <w:szCs w:val="20"/>
        </w:rPr>
      </w:pPr>
    </w:p>
    <w:p>
      <w:pPr>
        <w:spacing w:line="274" w:lineRule="exact"/>
        <w:jc w:val="both"/>
        <w:rPr>
          <w:rFonts w:eastAsia="微软雅黑"/>
          <w:b/>
          <w:bCs/>
          <w:sz w:val="15"/>
          <w:szCs w:val="15"/>
        </w:rPr>
      </w:pPr>
      <w:r>
        <w:rPr>
          <w:rFonts w:hint="eastAsia" w:eastAsia="微软雅黑"/>
          <w:b/>
          <w:bCs/>
          <w:sz w:val="20"/>
          <w:szCs w:val="20"/>
        </w:rPr>
        <w:t xml:space="preserve">3. </w:t>
      </w:r>
      <w:r>
        <w:rPr>
          <w:rFonts w:eastAsia="微软雅黑"/>
          <w:b/>
          <w:bCs/>
          <w:sz w:val="20"/>
          <w:szCs w:val="20"/>
        </w:rPr>
        <w:t>建议的qPCR反应体系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02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4" w:lineRule="exact"/>
              <w:jc w:val="both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试剂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4" w:lineRule="exact"/>
              <w:jc w:val="right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使用量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4" w:lineRule="exact"/>
              <w:jc w:val="right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终浓度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hint="eastAsia" w:eastAsia="宋体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Fonts w:hint="eastAsia" w:eastAsia="宋体"/>
                <w:sz w:val="16"/>
                <w:szCs w:val="16"/>
              </w:rPr>
              <w:t>Taq</w:t>
            </w:r>
            <w:r>
              <w:rPr>
                <w:rFonts w:eastAsia="宋体"/>
                <w:sz w:val="16"/>
                <w:szCs w:val="16"/>
              </w:rPr>
              <w:t xml:space="preserve"> </w:t>
            </w:r>
            <w:r>
              <w:rPr>
                <w:rFonts w:hint="eastAsia" w:eastAsia="宋体"/>
                <w:sz w:val="16"/>
                <w:szCs w:val="16"/>
              </w:rPr>
              <w:t>SYBR® Green qPCR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16"/>
                <w:szCs w:val="16"/>
              </w:rPr>
              <w:t>Premix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10μl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1×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正向引物 (10 μM)</w:t>
            </w:r>
            <w:r>
              <w:rPr>
                <w:rFonts w:eastAsia="STXihei"/>
                <w:color w:val="00000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0.4 μl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ordWrap w:val="0"/>
              <w:jc w:val="right"/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0.2 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反向引物 (10 μM)</w:t>
            </w:r>
            <w:r>
              <w:rPr>
                <w:rFonts w:eastAsia="STXihei"/>
                <w:color w:val="00000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0.4 μl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0.2 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宋体"/>
                <w:sz w:val="16"/>
                <w:szCs w:val="16"/>
              </w:rPr>
              <w:t>DNA 模板</w:t>
            </w:r>
            <w:r>
              <w:rPr>
                <w:rFonts w:eastAsia="宋体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宋体"/>
                <w:sz w:val="16"/>
                <w:szCs w:val="16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X μl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10~200ng/20 μl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Nuclease-Free Water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To 20 μl</w:t>
            </w:r>
          </w:p>
        </w:tc>
      </w:tr>
    </w:tbl>
    <w:p>
      <w:pPr>
        <w:spacing w:line="274" w:lineRule="exact"/>
        <w:jc w:val="both"/>
        <w:rPr>
          <w:rFonts w:eastAsia="宋体"/>
          <w:sz w:val="15"/>
          <w:szCs w:val="15"/>
        </w:rPr>
      </w:pPr>
      <w:r>
        <w:rPr>
          <w:rFonts w:hint="eastAsia" w:eastAsia="宋体"/>
          <w:sz w:val="15"/>
          <w:szCs w:val="15"/>
        </w:rPr>
        <w:t>a.通常推荐的引物终浓度为0.2uM，反应效果不佳时可0.1~1</w:t>
      </w:r>
      <w:r>
        <w:rPr>
          <w:rFonts w:eastAsia="STXihei"/>
          <w:color w:val="000000"/>
          <w:sz w:val="15"/>
          <w:szCs w:val="15"/>
          <w:lang w:bidi="ar"/>
        </w:rPr>
        <w:t>μ</w:t>
      </w:r>
      <w:r>
        <w:rPr>
          <w:rFonts w:hint="eastAsia" w:eastAsia="宋体"/>
          <w:sz w:val="15"/>
          <w:szCs w:val="15"/>
        </w:rPr>
        <w:t>M范围内进行调整；</w:t>
      </w:r>
    </w:p>
    <w:p>
      <w:pPr>
        <w:spacing w:line="274" w:lineRule="exact"/>
        <w:jc w:val="both"/>
        <w:rPr>
          <w:rFonts w:eastAsia="宋体"/>
          <w:sz w:val="15"/>
          <w:szCs w:val="15"/>
        </w:rPr>
      </w:pPr>
      <w:r>
        <w:rPr>
          <w:rFonts w:hint="eastAsia" w:eastAsia="宋体"/>
          <w:sz w:val="15"/>
          <w:szCs w:val="15"/>
        </w:rPr>
        <w:t>b.推荐模板加样量为1~2</w:t>
      </w:r>
      <w:r>
        <w:rPr>
          <w:rFonts w:eastAsia="STXihei"/>
          <w:color w:val="000000"/>
          <w:sz w:val="15"/>
          <w:szCs w:val="15"/>
          <w:lang w:bidi="ar"/>
        </w:rPr>
        <w:t>μ</w:t>
      </w:r>
      <w:r>
        <w:rPr>
          <w:rFonts w:hint="eastAsia" w:eastAsia="宋体"/>
          <w:sz w:val="15"/>
          <w:szCs w:val="15"/>
        </w:rPr>
        <w:t>l，如模板类型为未稀释cDNA原液，模板添加量不应超过总反应体系的10%。不同种类DNA模板中含有的靶基因拷贝数目不同，必要时可进行梯度稀释，以确定最佳的DNA模板添加量。</w:t>
      </w:r>
    </w:p>
    <w:p>
      <w:pPr>
        <w:spacing w:line="274" w:lineRule="exact"/>
        <w:jc w:val="both"/>
        <w:rPr>
          <w:rFonts w:eastAsia="微软雅黑"/>
          <w:b/>
          <w:bCs/>
          <w:sz w:val="20"/>
          <w:szCs w:val="20"/>
        </w:rPr>
      </w:pPr>
      <w:r>
        <w:rPr>
          <w:rFonts w:hint="eastAsia" w:eastAsia="微软雅黑"/>
          <w:b/>
          <w:bCs/>
          <w:sz w:val="20"/>
          <w:szCs w:val="20"/>
        </w:rPr>
        <w:t>4. qPCR反应程序（可根据机型适当调整）</w:t>
      </w:r>
    </w:p>
    <w:p>
      <w:pPr>
        <w:spacing w:line="274" w:lineRule="exact"/>
        <w:rPr>
          <w:rFonts w:eastAsia="微软雅黑"/>
          <w:b/>
          <w:bCs/>
          <w:sz w:val="18"/>
          <w:szCs w:val="18"/>
        </w:rPr>
      </w:pPr>
      <w:r>
        <w:rPr>
          <w:rFonts w:hint="eastAsia" w:eastAsia="微软雅黑"/>
          <w:b/>
          <w:bCs/>
          <w:sz w:val="18"/>
          <w:szCs w:val="18"/>
        </w:rPr>
        <w:t>两步法</w:t>
      </w:r>
    </w:p>
    <w:tbl>
      <w:tblPr>
        <w:tblStyle w:val="7"/>
        <w:tblW w:w="5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402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4" w:lineRule="exact"/>
              <w:jc w:val="both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 xml:space="preserve">步骤 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4" w:lineRule="exact"/>
              <w:jc w:val="both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温度</w:t>
            </w:r>
          </w:p>
        </w:tc>
        <w:tc>
          <w:tcPr>
            <w:tcW w:w="22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4" w:lineRule="exact"/>
              <w:jc w:val="both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 xml:space="preserve">时间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预变形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95 ℃</w:t>
            </w:r>
          </w:p>
        </w:tc>
        <w:tc>
          <w:tcPr>
            <w:tcW w:w="228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宋体"/>
                <w:sz w:val="16"/>
                <w:szCs w:val="16"/>
              </w:rPr>
              <w:t>30 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变形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95 ℃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70485</wp:posOffset>
                      </wp:positionV>
                      <wp:extent cx="1270" cy="222250"/>
                      <wp:effectExtent l="4445" t="0" r="6985" b="63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0" cy="222250"/>
                              </a:xfrm>
                              <a:prstGeom prst="line">
                                <a:avLst/>
                              </a:prstGeom>
                              <a:ln w="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58pt;margin-top:5.55pt;height:17.5pt;width:0.1pt;z-index:251662336;mso-width-relative:page;mso-height-relative:page;" filled="f" stroked="t" coordsize="21600,21600" o:gfxdata="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3E0S1QAA&#10;AAkBAAAPAAAAAAAAAAEAIAAAACIAAABkcnMvZG93bnJldi54bWxQSwECFAAUAAAACACHTuJAp4ei&#10;5ugBAAC6AwAADgAAAAAAAAABACAAAAAkAQAAZHJzL2Uyb0RvYy54bWxQSwUGAAAAAAYABgBZAQAA&#10;fgUAAAAA&#10;">
                      <v:fill on="f" focussize="0,0"/>
                      <v:stroke weight="0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76835</wp:posOffset>
                      </wp:positionV>
                      <wp:extent cx="387350" cy="6350"/>
                      <wp:effectExtent l="0" t="44450" r="6350" b="5080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6205855" y="6501765"/>
                                <a:ext cx="387350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28.6pt;margin-top:6.05pt;height:0.5pt;width:30.5pt;z-index:251663360;mso-width-relative:page;mso-height-relative:page;" filled="f" stroked="t" coordsize="21600,21600" o:gfxdata="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6EVHr1gAAAAgBAAAPAAAAAAAA&#10;AAEAIAAAACIAAABkcnMvZG93bnJldi54bWxQSwECFAAUAAAACACHTuJA4rguUxQCAAD2AwAADgAA&#10;AAAAAAABACAAAAAlAQAAZHJzL2Uyb0RvYy54bWxQSwUGAAAAAAYABgBZAQAAqw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eastAsia="STXihei"/>
                <w:color w:val="000000"/>
                <w:sz w:val="15"/>
                <w:szCs w:val="15"/>
                <w:lang w:bidi="ar"/>
              </w:rPr>
              <w:t>1</w:t>
            </w: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0 sec            40 个循环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退火&amp;延伸</w:t>
            </w:r>
            <w:r>
              <w:rPr>
                <w:rFonts w:eastAsia="STXihei"/>
                <w:color w:val="00000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hint="eastAsia" w:eastAsia="STXihei"/>
                <w:color w:val="000000"/>
                <w:sz w:val="15"/>
                <w:szCs w:val="15"/>
                <w:lang w:val="en-US" w:eastAsia="zh-CN" w:bidi="ar"/>
              </w:rPr>
              <w:t>60</w:t>
            </w: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℃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 xml:space="preserve">30 sec </w:t>
            </w: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94615</wp:posOffset>
                      </wp:positionV>
                      <wp:extent cx="361950" cy="6350"/>
                      <wp:effectExtent l="0" t="4445" r="6350" b="825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631305" y="6971665"/>
                                <a:ext cx="361950" cy="6350"/>
                              </a:xfrm>
                              <a:prstGeom prst="line">
                                <a:avLst/>
                              </a:prstGeom>
                              <a:ln w="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0.1pt;margin-top:7.45pt;height:0.5pt;width:28.5pt;z-index:251661312;mso-width-relative:page;mso-height-relative:page;" filled="f" stroked="t" coordsize="21600,21600" o:gfxdata="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Kjw&#10;6tQAAAAIAQAADwAAAAAAAAABACAAAAAiAAAAZHJzL2Rvd25yZXYueG1sUEsBAhQAFAAAAAgAh07i&#10;QKaw8WftAQAAvAMAAA4AAAAAAAAAAQAgAAAAIwEAAGRycy9lMm9Eb2MueG1sUEsFBgAAAAAGAAYA&#10;WQEAAIIFAAAAAA==&#10;">
                      <v:fill on="f" focussize="0,0"/>
                      <v:stroke weight="0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熔解曲线</w:t>
            </w:r>
            <w:r>
              <w:rPr>
                <w:rFonts w:eastAsia="STXihei"/>
                <w:color w:val="000000"/>
                <w:sz w:val="15"/>
                <w:szCs w:val="15"/>
                <w:vertAlign w:val="superscript"/>
                <w:lang w:bidi="ar"/>
              </w:rPr>
              <w:t>b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使用仪器默认采集程序</w:t>
            </w:r>
          </w:p>
        </w:tc>
      </w:tr>
    </w:tbl>
    <w:p>
      <w:pPr>
        <w:spacing w:line="274" w:lineRule="exact"/>
        <w:rPr>
          <w:rFonts w:eastAsia="微软雅黑"/>
          <w:b/>
          <w:bCs/>
          <w:sz w:val="18"/>
          <w:szCs w:val="18"/>
        </w:rPr>
      </w:pPr>
    </w:p>
    <w:p>
      <w:pPr>
        <w:spacing w:line="274" w:lineRule="exact"/>
        <w:rPr>
          <w:rFonts w:eastAsia="微软雅黑"/>
          <w:b/>
          <w:bCs/>
          <w:sz w:val="18"/>
          <w:szCs w:val="18"/>
        </w:rPr>
      </w:pPr>
      <w:r>
        <w:rPr>
          <w:rFonts w:hint="eastAsia" w:eastAsia="微软雅黑"/>
          <w:b/>
          <w:bCs/>
          <w:sz w:val="18"/>
          <w:szCs w:val="18"/>
        </w:rPr>
        <w:t>三步法</w:t>
      </w:r>
    </w:p>
    <w:tbl>
      <w:tblPr>
        <w:tblStyle w:val="7"/>
        <w:tblW w:w="5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96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4" w:lineRule="exact"/>
              <w:jc w:val="both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 xml:space="preserve">步骤 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4" w:lineRule="exact"/>
              <w:jc w:val="both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温度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74" w:lineRule="exact"/>
              <w:jc w:val="both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 xml:space="preserve">时间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8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预变形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95 ℃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 xml:space="preserve">30 sec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变形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95 ℃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70485</wp:posOffset>
                      </wp:positionV>
                      <wp:extent cx="5080" cy="415290"/>
                      <wp:effectExtent l="4445" t="0" r="15875" b="381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0" cy="415290"/>
                              </a:xfrm>
                              <a:prstGeom prst="line">
                                <a:avLst/>
                              </a:prstGeom>
                              <a:ln w="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58.1pt;margin-top:5.55pt;height:32.7pt;width:0.4pt;z-index:251665408;mso-width-relative:page;mso-height-relative:page;" filled="f" stroked="t" coordsize="21600,21600" o:gfxdata="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7K&#10;QNXTAAAACQEAAA8AAAAAAAAAAQAgAAAAIgAAAGRycy9kb3ducmV2LnhtbFBLAQIUABQAAAAIAIdO&#10;4kAwGAz/7wEAAMYDAAAOAAAAAAAAAAEAIAAAACIBAABkcnMvZTJvRG9jLnhtbFBLBQYAAAAABgAG&#10;AFkBAACDBQAAAAA=&#10;">
                      <v:fill on="f" focussize="0,0"/>
                      <v:stroke weight="0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76835</wp:posOffset>
                      </wp:positionV>
                      <wp:extent cx="387350" cy="6350"/>
                      <wp:effectExtent l="0" t="44450" r="6350" b="50800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6205855" y="6501765"/>
                                <a:ext cx="387350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28.6pt;margin-top:6.05pt;height:0.5pt;width:30.5pt;z-index:251666432;mso-width-relative:page;mso-height-relative:page;" filled="f" stroked="t" coordsize="21600,21600" o:gfxdata="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oRUevWAAAACAEAAA8AAAAA&#10;AAAAAQAgAAAAIgAAAGRycy9kb3ducmV2LnhtbFBLAQIUABQAAAAIAIdO4kC7uMp7FgIAAPgDAAAO&#10;AAAAAAAAAAEAIAAAACUBAABkcnMvZTJvRG9jLnhtbFBLBQYAAAAABgAGAFkBAACt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 xml:space="preserve">10 sec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退火</w:t>
            </w:r>
            <w:r>
              <w:rPr>
                <w:rFonts w:eastAsia="STXihei"/>
                <w:color w:val="00000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55~65 ℃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10 sec            40 个循环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延伸</w:t>
            </w:r>
            <w:r>
              <w:rPr>
                <w:rFonts w:eastAsia="STXihei"/>
                <w:color w:val="000000"/>
                <w:sz w:val="15"/>
                <w:szCs w:val="15"/>
                <w:vertAlign w:val="superscript"/>
                <w:lang w:bidi="ar"/>
              </w:rPr>
              <w:t>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72℃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88265</wp:posOffset>
                      </wp:positionV>
                      <wp:extent cx="361950" cy="6350"/>
                      <wp:effectExtent l="0" t="4445" r="6350" b="825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631305" y="6971665"/>
                                <a:ext cx="361950" cy="6350"/>
                              </a:xfrm>
                              <a:prstGeom prst="line">
                                <a:avLst/>
                              </a:prstGeom>
                              <a:ln w="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0.1pt;margin-top:6.95pt;height:0.5pt;width:28.5pt;z-index:251664384;mso-width-relative:page;mso-height-relative:page;" filled="f" stroked="t" coordsize="21600,21600" o:gfxdata="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Z&#10;+qW71AAAAAgBAAAPAAAAAAAAAAEAIAAAACIAAABkcnMvZG93bnJldi54bWxQSwECFAAUAAAACACH&#10;TuJAGbdmAu8BAAC+AwAADgAAAAAAAAABACAAAAAjAQAAZHJzL2Uyb0RvYy54bWxQSwUGAAAAAAYA&#10;BgBZAQAAhAUAAAAA&#10;">
                      <v:fill on="f" focussize="0,0"/>
                      <v:stroke weight="0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 xml:space="preserve">30 sec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熔解曲线</w:t>
            </w:r>
            <w:r>
              <w:rPr>
                <w:rFonts w:eastAsia="STXihei"/>
                <w:color w:val="000000"/>
                <w:sz w:val="15"/>
                <w:szCs w:val="15"/>
                <w:vertAlign w:val="superscript"/>
                <w:lang w:bidi="ar"/>
              </w:rPr>
              <w:t>b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STXihei"/>
                <w:color w:val="000000"/>
                <w:sz w:val="15"/>
                <w:szCs w:val="15"/>
                <w:lang w:bidi="ar"/>
              </w:rPr>
            </w:pPr>
            <w:r>
              <w:rPr>
                <w:rFonts w:eastAsia="STXihei"/>
                <w:color w:val="000000"/>
                <w:sz w:val="15"/>
                <w:szCs w:val="15"/>
                <w:lang w:bidi="ar"/>
              </w:rPr>
              <w:t>使用仪器默认采集程序</w:t>
            </w:r>
          </w:p>
        </w:tc>
      </w:tr>
    </w:tbl>
    <w:p>
      <w:pPr>
        <w:spacing w:line="274" w:lineRule="exact"/>
        <w:jc w:val="both"/>
        <w:rPr>
          <w:rFonts w:eastAsia="宋体"/>
          <w:sz w:val="15"/>
          <w:szCs w:val="15"/>
        </w:rPr>
      </w:pPr>
      <w:r>
        <w:rPr>
          <w:rFonts w:hint="eastAsia" w:eastAsia="宋体"/>
          <w:sz w:val="15"/>
          <w:szCs w:val="15"/>
        </w:rPr>
        <w:t>a.根据引物的Tm值进行退火（退火&amp;延伸）温度的设定；若扩增片段在 200 bp以内，延伸（退火&amp;延伸）时间可以设置为15 sec；此外，延伸时间的设置还需根据您使用的qPCR仪所需要的数据采集最短时间限制自行调整；</w:t>
      </w:r>
    </w:p>
    <w:p>
      <w:pPr>
        <w:spacing w:line="274" w:lineRule="exact"/>
        <w:jc w:val="both"/>
        <w:rPr>
          <w:rFonts w:eastAsia="微软雅黑"/>
          <w:b/>
          <w:bCs/>
        </w:rPr>
      </w:pPr>
      <w:r>
        <w:rPr>
          <w:rFonts w:hint="eastAsia" w:eastAsia="宋体"/>
          <w:sz w:val="15"/>
          <w:szCs w:val="15"/>
        </w:rPr>
        <w:t>b. 不同qPCR仪的熔解曲线采集程序有差别，一般可使用仪器默认的熔解曲线采集程序。</w:t>
      </w:r>
    </w:p>
    <w:p>
      <w:pPr>
        <w:numPr>
          <w:ilvl w:val="0"/>
          <w:numId w:val="2"/>
        </w:numPr>
        <w:spacing w:line="274" w:lineRule="exact"/>
        <w:jc w:val="both"/>
        <w:rPr>
          <w:rFonts w:eastAsia="微软雅黑"/>
          <w:b/>
          <w:bCs/>
          <w:sz w:val="20"/>
          <w:szCs w:val="20"/>
        </w:rPr>
      </w:pPr>
      <w:r>
        <w:rPr>
          <w:rFonts w:eastAsia="微软雅黑"/>
          <w:b/>
          <w:bCs/>
          <w:sz w:val="20"/>
          <w:szCs w:val="20"/>
        </w:rPr>
        <w:t>实验优化</w:t>
      </w:r>
    </w:p>
    <w:p>
      <w:pPr>
        <w:rPr>
          <w:rFonts w:eastAsia="宋体"/>
          <w:sz w:val="18"/>
          <w:szCs w:val="18"/>
        </w:rPr>
      </w:pPr>
      <w:r>
        <w:rPr>
          <w:rFonts w:eastAsia="宋体"/>
          <w:sz w:val="18"/>
          <w:szCs w:val="18"/>
        </w:rPr>
        <w:t>若使用默认反应条件反应性能不佳时，则需要进行反应条件的优化，可以从引物浓度以及扩增程序两个方面进行：</w:t>
      </w:r>
    </w:p>
    <w:p>
      <w:pPr>
        <w:rPr>
          <w:rFonts w:eastAsia="宋体"/>
          <w:b/>
          <w:bCs/>
          <w:sz w:val="18"/>
          <w:szCs w:val="18"/>
        </w:rPr>
      </w:pPr>
      <w:r>
        <w:rPr>
          <w:rFonts w:eastAsia="宋体"/>
          <w:b/>
          <w:bCs/>
          <w:sz w:val="18"/>
          <w:szCs w:val="18"/>
        </w:rPr>
        <w:t xml:space="preserve">①引物浓度调整 </w:t>
      </w:r>
    </w:p>
    <w:p>
      <w:pPr>
        <w:ind w:firstLine="360" w:firstLineChars="200"/>
        <w:rPr>
          <w:rFonts w:eastAsia="宋体"/>
          <w:sz w:val="18"/>
          <w:szCs w:val="18"/>
        </w:rPr>
      </w:pPr>
      <w:r>
        <w:rPr>
          <w:rFonts w:eastAsia="宋体"/>
          <w:sz w:val="18"/>
          <w:szCs w:val="18"/>
        </w:rPr>
        <w:t>当引物终浓度在0.1～1.0</w:t>
      </w:r>
      <w:r>
        <w:rPr>
          <w:rFonts w:eastAsia="STXihei"/>
          <w:color w:val="000000"/>
          <w:sz w:val="18"/>
          <w:szCs w:val="18"/>
          <w:lang w:bidi="ar"/>
        </w:rPr>
        <w:t>μ</w:t>
      </w:r>
      <w:r>
        <w:rPr>
          <w:rFonts w:eastAsia="宋体"/>
          <w:sz w:val="18"/>
          <w:szCs w:val="18"/>
        </w:rPr>
        <w:t>M范围之间变化时，引物浓度越低，扩增特异性越高，但扩增效率会有所下降。</w:t>
      </w:r>
    </w:p>
    <w:p>
      <w:pPr>
        <w:rPr>
          <w:rFonts w:eastAsia="宋体"/>
          <w:b/>
          <w:bCs/>
          <w:sz w:val="18"/>
          <w:szCs w:val="18"/>
        </w:rPr>
      </w:pPr>
      <w:r>
        <w:rPr>
          <w:rFonts w:eastAsia="宋体"/>
          <w:b/>
          <w:bCs/>
          <w:sz w:val="18"/>
          <w:szCs w:val="18"/>
        </w:rPr>
        <w:t>②扩增程序优化</w:t>
      </w:r>
    </w:p>
    <w:p>
      <w:pPr>
        <w:spacing w:line="274" w:lineRule="exact"/>
        <w:ind w:firstLine="360" w:firstLineChars="200"/>
        <w:rPr>
          <w:rFonts w:eastAsia="宋体"/>
          <w:sz w:val="18"/>
          <w:szCs w:val="18"/>
        </w:rPr>
      </w:pPr>
      <w:r>
        <w:rPr>
          <w:rFonts w:eastAsia="宋体"/>
          <w:sz w:val="18"/>
          <w:szCs w:val="18"/>
        </w:rPr>
        <w:t>需提高扩增特异性，可使用两步法程序或提高退火温度；需提高扩增效率，可使用三步法程序或延长延伸时间。</w:t>
      </w:r>
    </w:p>
    <w:p>
      <w:pPr>
        <w:spacing w:line="274" w:lineRule="exact"/>
        <w:ind w:firstLine="360" w:firstLineChars="200"/>
        <w:rPr>
          <w:rFonts w:eastAsia="宋体"/>
          <w:color w:val="000000"/>
          <w:sz w:val="18"/>
          <w:szCs w:val="18"/>
        </w:rPr>
      </w:pPr>
      <w:r>
        <w:rPr>
          <w:rFonts w:eastAsia="宋体"/>
          <w:sz w:val="18"/>
          <w:szCs w:val="18"/>
        </w:rPr>
        <w:br w:type="column"/>
      </w:r>
    </w:p>
    <w:p>
      <w:pPr>
        <w:numPr>
          <w:ilvl w:val="0"/>
          <w:numId w:val="2"/>
        </w:numPr>
        <w:spacing w:line="274" w:lineRule="exact"/>
        <w:jc w:val="both"/>
        <w:rPr>
          <w:rFonts w:eastAsia="微软雅黑"/>
          <w:b/>
          <w:bCs/>
          <w:sz w:val="20"/>
          <w:szCs w:val="20"/>
        </w:rPr>
      </w:pPr>
      <w:r>
        <w:rPr>
          <w:rFonts w:eastAsia="微软雅黑"/>
          <w:b/>
          <w:bCs/>
          <w:sz w:val="20"/>
          <w:szCs w:val="20"/>
        </w:rPr>
        <w:t>引物设计原则</w:t>
      </w:r>
    </w:p>
    <w:p>
      <w:pPr>
        <w:spacing w:line="274" w:lineRule="exact"/>
        <w:jc w:val="both"/>
        <w:rPr>
          <w:rFonts w:eastAsia="宋体"/>
          <w:sz w:val="18"/>
          <w:szCs w:val="18"/>
        </w:rPr>
      </w:pPr>
      <w:r>
        <w:rPr>
          <w:rFonts w:eastAsia="宋体"/>
          <w:sz w:val="18"/>
          <w:szCs w:val="18"/>
        </w:rPr>
        <w:t>① 扩增产物长度建议控制在 80～200 bp</w:t>
      </w:r>
    </w:p>
    <w:p>
      <w:pPr>
        <w:pStyle w:val="2"/>
        <w:spacing w:before="2"/>
        <w:rPr>
          <w:rFonts w:ascii="Times New Roman" w:hAnsi="Times New Roman" w:eastAsia="宋体" w:cs="Times New Roman"/>
          <w:sz w:val="18"/>
          <w:szCs w:val="18"/>
          <w:lang w:eastAsia="zh-CN" w:bidi="ar-SA"/>
        </w:rPr>
      </w:pPr>
      <w:r>
        <w:rPr>
          <w:rFonts w:ascii="Times New Roman" w:hAnsi="Times New Roman" w:eastAsia="宋体" w:cs="Times New Roman"/>
          <w:sz w:val="18"/>
          <w:szCs w:val="18"/>
          <w:lang w:eastAsia="zh-CN" w:bidi="ar-SA"/>
        </w:rPr>
        <w:t>② 引物长度为 18～25 bp；</w:t>
      </w:r>
    </w:p>
    <w:p>
      <w:pPr>
        <w:pStyle w:val="2"/>
        <w:spacing w:before="28" w:line="206" w:lineRule="auto"/>
        <w:ind w:right="113"/>
        <w:rPr>
          <w:rFonts w:ascii="Times New Roman" w:hAnsi="Times New Roman" w:eastAsia="宋体" w:cs="Times New Roman"/>
          <w:sz w:val="18"/>
          <w:szCs w:val="18"/>
          <w:lang w:eastAsia="zh-CN" w:bidi="ar-SA"/>
        </w:rPr>
      </w:pPr>
      <w:r>
        <w:rPr>
          <w:rFonts w:ascii="Times New Roman" w:hAnsi="Times New Roman" w:eastAsia="宋体" w:cs="Times New Roman"/>
          <w:sz w:val="18"/>
          <w:szCs w:val="18"/>
          <w:lang w:eastAsia="zh-CN" w:bidi="ar-SA"/>
        </w:rPr>
        <w:t>③ 正向引物和反向引物的Tm 值相差不超过 1 ℃为佳，Tm 值控制在 58～62℃为佳；</w:t>
      </w:r>
    </w:p>
    <w:p>
      <w:pPr>
        <w:pStyle w:val="2"/>
        <w:spacing w:before="14"/>
        <w:rPr>
          <w:rFonts w:ascii="Times New Roman" w:hAnsi="Times New Roman" w:eastAsia="宋体" w:cs="Times New Roman"/>
          <w:sz w:val="18"/>
          <w:szCs w:val="18"/>
          <w:lang w:eastAsia="zh-CN" w:bidi="ar-SA"/>
        </w:rPr>
      </w:pPr>
      <w:r>
        <w:rPr>
          <w:rFonts w:ascii="Times New Roman" w:hAnsi="Times New Roman" w:eastAsia="宋体" w:cs="Times New Roman"/>
          <w:sz w:val="18"/>
          <w:szCs w:val="18"/>
          <w:lang w:eastAsia="zh-CN" w:bidi="ar-SA"/>
        </w:rPr>
        <w:t>④ 引物的 GC 含量控制在 40%～60% 之间；</w:t>
      </w:r>
    </w:p>
    <w:p>
      <w:pPr>
        <w:pStyle w:val="2"/>
        <w:spacing w:before="2" w:line="259" w:lineRule="exact"/>
        <w:rPr>
          <w:rFonts w:ascii="Times New Roman" w:hAnsi="Times New Roman" w:eastAsia="宋体" w:cs="Times New Roman"/>
          <w:sz w:val="18"/>
          <w:szCs w:val="18"/>
          <w:lang w:eastAsia="zh-CN" w:bidi="ar-SA"/>
        </w:rPr>
      </w:pPr>
      <w:r>
        <w:rPr>
          <w:rFonts w:ascii="Times New Roman" w:hAnsi="Times New Roman" w:eastAsia="宋体" w:cs="Times New Roman"/>
          <w:sz w:val="18"/>
          <w:szCs w:val="18"/>
          <w:lang w:eastAsia="zh-CN" w:bidi="ar-SA"/>
        </w:rPr>
        <w:t>⑤ 引物 A、G、C、T 整体分布尽量要均匀，避开 T/C 或者 A/G的连续结构（特别是 3'端）；</w:t>
      </w:r>
    </w:p>
    <w:p>
      <w:pPr>
        <w:pStyle w:val="2"/>
        <w:spacing w:before="1"/>
        <w:rPr>
          <w:rFonts w:ascii="Times New Roman" w:hAnsi="Times New Roman" w:eastAsia="宋体" w:cs="Times New Roman"/>
          <w:sz w:val="18"/>
          <w:szCs w:val="18"/>
          <w:lang w:eastAsia="zh-CN" w:bidi="ar-SA"/>
        </w:rPr>
      </w:pPr>
      <w:r>
        <w:rPr>
          <w:rFonts w:ascii="Times New Roman" w:hAnsi="Times New Roman" w:eastAsia="宋体" w:cs="Times New Roman"/>
          <w:sz w:val="18"/>
          <w:szCs w:val="18"/>
          <w:lang w:eastAsia="zh-CN" w:bidi="ar-SA"/>
        </w:rPr>
        <w:t>⑥ 引物 3' 端最后一个碱基最好为 G 或者 C；</w:t>
      </w:r>
    </w:p>
    <w:p>
      <w:pPr>
        <w:pStyle w:val="2"/>
        <w:spacing w:before="1"/>
        <w:rPr>
          <w:rFonts w:ascii="Times New Roman" w:hAnsi="Times New Roman" w:eastAsia="宋体" w:cs="Times New Roman"/>
          <w:sz w:val="18"/>
          <w:szCs w:val="18"/>
          <w:lang w:eastAsia="zh-CN" w:bidi="ar-SA"/>
        </w:rPr>
      </w:pPr>
      <w:r>
        <w:rPr>
          <w:rFonts w:ascii="Times New Roman" w:hAnsi="Times New Roman" w:eastAsia="宋体" w:cs="Times New Roman"/>
          <w:sz w:val="18"/>
          <w:szCs w:val="18"/>
          <w:lang w:eastAsia="zh-CN" w:bidi="ar-SA"/>
        </w:rPr>
        <w:t>⑦ 避开引物内部或者两条引物之间的互补序列；</w:t>
      </w:r>
    </w:p>
    <w:p>
      <w:pPr>
        <w:rPr>
          <w:rFonts w:ascii="Times New Roman" w:hAnsi="Times New Roman" w:eastAsia="宋体" w:cs="Times New Roman"/>
          <w:color w:val="000000"/>
          <w:sz w:val="18"/>
          <w:szCs w:val="18"/>
          <w:lang w:eastAsia="zh-CN" w:bidi="ar-S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418" w:right="851" w:bottom="1418" w:left="964" w:header="1474" w:footer="1871" w:gutter="0"/>
          <w:cols w:space="425" w:num="2"/>
          <w:docGrid w:type="lines" w:linePitch="312" w:charSpace="0"/>
        </w:sectPr>
      </w:pPr>
      <w:r>
        <w:rPr>
          <w:rFonts w:eastAsia="宋体"/>
          <w:sz w:val="18"/>
          <w:szCs w:val="18"/>
        </w:rPr>
        <w:t>⑧ 使用 NCBI BLAST 功能检索确认引物的特异性</w:t>
      </w:r>
    </w:p>
    <w:p>
      <w:pPr>
        <w:pStyle w:val="2"/>
        <w:spacing w:line="259" w:lineRule="exact"/>
        <w:ind w:firstLine="240" w:firstLineChars="100"/>
        <w:rPr>
          <w:rFonts w:ascii="Times New Roman" w:hAnsi="Times New Roman" w:eastAsia="微软雅黑" w:cs="Times New Roman"/>
          <w:b/>
          <w:bCs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微软雅黑" w:cs="Times New Roman"/>
          <w:b/>
          <w:bCs/>
          <w:sz w:val="24"/>
          <w:szCs w:val="24"/>
          <w:lang w:eastAsia="zh-CN" w:bidi="ar-SA"/>
        </w:rPr>
        <w:t>常见问题</w:t>
      </w:r>
    </w:p>
    <w:p>
      <w:pPr>
        <w:pStyle w:val="2"/>
        <w:spacing w:line="259" w:lineRule="exact"/>
        <w:ind w:firstLine="240" w:firstLineChars="100"/>
        <w:rPr>
          <w:rFonts w:ascii="Times New Roman" w:hAnsi="Times New Roman" w:eastAsia="微软雅黑" w:cs="Times New Roman"/>
          <w:b/>
          <w:bCs/>
          <w:sz w:val="24"/>
          <w:szCs w:val="24"/>
          <w:lang w:eastAsia="zh-CN" w:bidi="ar-SA"/>
        </w:rPr>
      </w:pPr>
    </w:p>
    <w:p>
      <w:pPr>
        <w:pStyle w:val="2"/>
        <w:spacing w:line="259" w:lineRule="exact"/>
        <w:rPr>
          <w:rFonts w:ascii="Times New Roman" w:hAnsi="Times New Roman" w:eastAsia="宋体" w:cs="Times New Roman"/>
          <w:color w:val="000000"/>
          <w:sz w:val="18"/>
          <w:szCs w:val="18"/>
          <w:lang w:eastAsia="zh-CN" w:bidi="ar-SA"/>
        </w:rPr>
        <w:sectPr>
          <w:type w:val="continuous"/>
          <w:pgSz w:w="11906" w:h="16838"/>
          <w:pgMar w:top="1418" w:right="851" w:bottom="1418" w:left="964" w:header="1474" w:footer="1871" w:gutter="0"/>
          <w:cols w:space="425" w:num="2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="1012" w:tblpY="5703"/>
        <w:tblOverlap w:val="never"/>
        <w:tblW w:w="10319" w:type="dxa"/>
        <w:tblInd w:w="0" w:type="dxa"/>
        <w:tblBorders>
          <w:top w:val="single" w:color="414042" w:sz="4" w:space="0"/>
          <w:left w:val="single" w:color="414042" w:sz="4" w:space="0"/>
          <w:bottom w:val="single" w:color="414042" w:sz="4" w:space="0"/>
          <w:right w:val="single" w:color="414042" w:sz="4" w:space="0"/>
          <w:insideH w:val="single" w:color="414042" w:sz="4" w:space="0"/>
          <w:insideV w:val="single" w:color="41404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3072"/>
        <w:gridCol w:w="5362"/>
      </w:tblGrid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85" w:type="dxa"/>
            <w:tcBorders>
              <w:bottom w:val="single" w:color="231F20" w:sz="2" w:space="0"/>
              <w:right w:val="single" w:color="231F20" w:sz="2" w:space="0"/>
            </w:tcBorders>
          </w:tcPr>
          <w:p>
            <w:pPr>
              <w:spacing w:line="240" w:lineRule="atLeast"/>
              <w:jc w:val="both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eastAsia="宋体"/>
                <w:b/>
                <w:bCs/>
                <w:sz w:val="16"/>
                <w:szCs w:val="16"/>
              </w:rPr>
              <w:t>问题描述</w:t>
            </w:r>
          </w:p>
        </w:tc>
        <w:tc>
          <w:tcPr>
            <w:tcW w:w="3072" w:type="dxa"/>
            <w:tcBorders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240" w:lineRule="atLeast"/>
              <w:jc w:val="both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eastAsia="宋体"/>
                <w:b/>
                <w:bCs/>
                <w:sz w:val="16"/>
                <w:szCs w:val="16"/>
              </w:rPr>
              <w:t>可能原因</w:t>
            </w:r>
          </w:p>
        </w:tc>
        <w:tc>
          <w:tcPr>
            <w:tcW w:w="5362" w:type="dxa"/>
            <w:tcBorders>
              <w:left w:val="single" w:color="231F20" w:sz="2" w:space="0"/>
              <w:bottom w:val="single" w:color="231F20" w:sz="2" w:space="0"/>
            </w:tcBorders>
          </w:tcPr>
          <w:p>
            <w:pPr>
              <w:spacing w:line="240" w:lineRule="atLeast"/>
              <w:jc w:val="both"/>
              <w:rPr>
                <w:rFonts w:eastAsia="宋体"/>
                <w:b/>
                <w:bCs/>
                <w:sz w:val="16"/>
                <w:szCs w:val="16"/>
              </w:rPr>
            </w:pPr>
            <w:r>
              <w:rPr>
                <w:rFonts w:eastAsia="宋体"/>
                <w:b/>
                <w:bCs/>
                <w:sz w:val="16"/>
                <w:szCs w:val="16"/>
              </w:rPr>
              <w:t>解决办法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tcBorders>
              <w:top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扩增曲线不光滑</w:t>
            </w: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荧光信号太弱，经系统校正后产生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确保 Mix 中预混的染料未降解；更换荧光信号收集更好的 qPCR 专用耗材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tcBorders>
              <w:top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扩增曲线断裂或下滑</w:t>
            </w: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模板浓度较高，基线的终点值大于 Cq 值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减小基线终点 (Cq 值 -4)， 重新分析数据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885" w:type="dxa"/>
            <w:tcBorders>
              <w:top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个别孔扩增曲线突然骤降</w:t>
            </w: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反应管内留有气泡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确保 Mix 完全溶解，请勿涡旋振荡混匀</w:t>
            </w:r>
            <w:r>
              <w:rPr>
                <w:rFonts w:hint="eastAsia" w:eastAsia="宋体"/>
                <w:sz w:val="16"/>
                <w:szCs w:val="16"/>
              </w:rPr>
              <w:t>；</w:t>
            </w:r>
            <w:r>
              <w:rPr>
                <w:rFonts w:eastAsia="宋体"/>
                <w:sz w:val="16"/>
                <w:szCs w:val="16"/>
              </w:rPr>
              <w:t>加样完成后轻弹离心去除气泡</w:t>
            </w:r>
            <w:r>
              <w:rPr>
                <w:rFonts w:hint="eastAsia" w:eastAsia="宋体"/>
                <w:sz w:val="16"/>
                <w:szCs w:val="16"/>
              </w:rPr>
              <w:t>；</w:t>
            </w:r>
          </w:p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延长预变性时间至10 min，以去除气泡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vMerge w:val="restart"/>
            <w:tcBorders>
              <w:top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反应结束无扩增曲线出现</w:t>
            </w: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反应循环数偏少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设置循环数为40，但更多的循环数会增加过多的背景信号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885" w:type="dxa"/>
            <w:vMerge w:val="continue"/>
            <w:tcBorders>
              <w:top w:val="nil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荧光信号采集步骤未设置或者设置错误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eastAsia"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两步法扩增程序一般将信号采集设置在退火 &amp; 延伸阶段，三步法扩增程序应 当将信号采集设置在 72℃延伸阶段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vMerge w:val="continue"/>
            <w:tcBorders>
              <w:top w:val="nil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引物可能降解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长期未用的引物，应先通过 PAGE 电泳检测完整性，以排除其降解的可能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vMerge w:val="continue"/>
            <w:tcBorders>
              <w:top w:val="nil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模板浓度过低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减少模板稀释倍数重复实验，样品浓度未知的情况下先从最高浓度做起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vMerge w:val="continue"/>
            <w:tcBorders>
              <w:top w:val="nil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模板降解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重新制备模板，重复实验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vMerge w:val="restart"/>
            <w:tcBorders>
              <w:top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Cq 值出现过晚</w:t>
            </w: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扩增效率低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提高引物浓度，尝试三步法扩增程序，或者重新设计引物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vMerge w:val="continue"/>
            <w:tcBorders>
              <w:top w:val="nil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模板浓度过低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减少模板稀释倍数重复实验，样品浓度未知的情况下先从最高浓度做起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vMerge w:val="continue"/>
            <w:tcBorders>
              <w:top w:val="nil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模板降解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重新制备模板，重复实验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85" w:type="dxa"/>
            <w:vMerge w:val="continue"/>
            <w:tcBorders>
              <w:top w:val="nil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扩增产物过长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扩增产物长度控制在 80~200 bp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85" w:type="dxa"/>
            <w:vMerge w:val="continue"/>
            <w:tcBorders>
              <w:top w:val="nil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体系中存在 PCR 抑制剂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一般为模板带入，加大模板稀释倍数或重新制备纯度高的模板重复实验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885" w:type="dxa"/>
            <w:vMerge w:val="restart"/>
            <w:tcBorders>
              <w:top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空白对照出现信号</w:t>
            </w: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反应体系污染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首先更换空白对照的水，如果还发生同样情况，继续更换引物、吸头、</w:t>
            </w:r>
          </w:p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PCR 管或启用新的 Mix</w:t>
            </w:r>
            <w:r>
              <w:rPr>
                <w:rFonts w:hint="eastAsia" w:eastAsia="宋体"/>
                <w:sz w:val="16"/>
                <w:szCs w:val="16"/>
              </w:rPr>
              <w:t>；</w:t>
            </w:r>
            <w:r>
              <w:rPr>
                <w:rFonts w:eastAsia="宋体"/>
                <w:sz w:val="16"/>
                <w:szCs w:val="16"/>
              </w:rPr>
              <w:t>反应体系在超净工作台内配制，减少气溶胶污染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85" w:type="dxa"/>
            <w:vMerge w:val="continue"/>
            <w:tcBorders>
              <w:top w:val="nil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出现引物二聚体等非特异性扩增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一般在分析35 循环以后空白对照出现扩增产物属正常情况，应配合熔解曲线</w:t>
            </w:r>
            <w:r>
              <w:rPr>
                <w:rFonts w:hint="eastAsia" w:eastAsia="宋体"/>
                <w:sz w:val="16"/>
                <w:szCs w:val="16"/>
              </w:rPr>
              <w:t>分析；</w:t>
            </w:r>
            <w:r>
              <w:rPr>
                <w:rFonts w:eastAsia="宋体"/>
                <w:sz w:val="16"/>
                <w:szCs w:val="16"/>
              </w:rPr>
              <w:t>重新设计引物，调整引物浓度或优化 PCR 反应程序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885" w:type="dxa"/>
            <w:vMerge w:val="restart"/>
            <w:tcBorders>
              <w:top w:val="single" w:color="231F20" w:sz="2" w:space="0"/>
              <w:left w:val="single" w:color="auto" w:sz="4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熔解曲线出现多峰</w:t>
            </w: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引物设计不佳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根据引物设计原则重新设计新引物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引物浓度过高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适当降低引物浓度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885" w:type="dxa"/>
            <w:vMerge w:val="restart"/>
            <w:tcBorders>
              <w:top w:val="single" w:color="auto" w:sz="4" w:space="0"/>
              <w:right w:val="single" w:color="231F20" w:sz="2" w:space="0"/>
            </w:tcBorders>
            <w:vAlign w:val="center"/>
          </w:tcPr>
          <w:p>
            <w:pPr>
              <w:jc w:val="both"/>
              <w:rPr>
                <w:rFonts w:eastAsia="宋体"/>
                <w:sz w:val="16"/>
                <w:szCs w:val="16"/>
              </w:rPr>
            </w:pPr>
          </w:p>
          <w:p>
            <w:pPr>
              <w:jc w:val="both"/>
              <w:rPr>
                <w:rFonts w:hint="eastAsia"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实验重复性差</w:t>
            </w: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加样误差大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使用精准的移液器、配合高品质吸头准确移液</w:t>
            </w:r>
            <w:r>
              <w:rPr>
                <w:rFonts w:hint="eastAsia" w:eastAsia="宋体"/>
                <w:sz w:val="16"/>
                <w:szCs w:val="16"/>
              </w:rPr>
              <w:t>；</w:t>
            </w:r>
            <w:r>
              <w:rPr>
                <w:rFonts w:eastAsia="宋体"/>
                <w:sz w:val="16"/>
                <w:szCs w:val="16"/>
              </w:rPr>
              <w:t>高倍稀释模板，加入大体积模板减少加样误差</w:t>
            </w:r>
            <w:r>
              <w:rPr>
                <w:rFonts w:hint="eastAsia" w:eastAsia="宋体"/>
                <w:sz w:val="16"/>
                <w:szCs w:val="16"/>
              </w:rPr>
              <w:t>；</w:t>
            </w:r>
            <w:r>
              <w:rPr>
                <w:rFonts w:eastAsia="宋体"/>
                <w:sz w:val="16"/>
                <w:szCs w:val="16"/>
              </w:rPr>
              <w:t>放大qPCR反应体积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885" w:type="dxa"/>
            <w:vMerge w:val="continue"/>
            <w:tcBorders>
              <w:right w:val="single" w:color="231F20" w:sz="2" w:space="0"/>
            </w:tcBorders>
          </w:tcPr>
          <w:p>
            <w:pPr>
              <w:rPr>
                <w:rFonts w:eastAsia="宋体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模板浓度过低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减少模板稀释倍数重复实验</w:t>
            </w:r>
          </w:p>
        </w:tc>
      </w:tr>
      <w:tr>
        <w:tblPrEx>
          <w:tblBorders>
            <w:top w:val="single" w:color="414042" w:sz="4" w:space="0"/>
            <w:left w:val="single" w:color="414042" w:sz="4" w:space="0"/>
            <w:bottom w:val="single" w:color="414042" w:sz="4" w:space="0"/>
            <w:right w:val="single" w:color="414042" w:sz="4" w:space="0"/>
            <w:insideH w:val="single" w:color="414042" w:sz="4" w:space="0"/>
            <w:insideV w:val="single" w:color="41404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885" w:type="dxa"/>
            <w:vMerge w:val="continue"/>
            <w:tcBorders>
              <w:bottom w:val="single" w:color="231F20" w:sz="2" w:space="0"/>
              <w:right w:val="single" w:color="231F20" w:sz="2" w:space="0"/>
            </w:tcBorders>
          </w:tcPr>
          <w:p>
            <w:pPr>
              <w:rPr>
                <w:rFonts w:eastAsia="宋体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qPCR 仪不同位置的温度偏差</w:t>
            </w:r>
          </w:p>
        </w:tc>
        <w:tc>
          <w:tcPr>
            <w:tcW w:w="536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>
            <w:pPr>
              <w:jc w:val="both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定期校准 qPCR 仪</w:t>
            </w:r>
          </w:p>
        </w:tc>
      </w:tr>
    </w:tbl>
    <w:p>
      <w:pPr>
        <w:spacing w:line="348" w:lineRule="exact"/>
        <w:rPr>
          <w:rFonts w:ascii="宋体" w:hAnsi="宋体" w:eastAsia="宋体"/>
          <w:color w:val="003F9A"/>
          <w:sz w:val="14"/>
        </w:rPr>
      </w:pPr>
    </w:p>
    <w:sectPr>
      <w:headerReference r:id="rId9" w:type="default"/>
      <w:footerReference r:id="rId10" w:type="default"/>
      <w:type w:val="continuous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TC-6b63658765875b57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800" w:firstLineChars="32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3810" b="508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 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59264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zgds7YAAAACgEAAA8AAAAAAAAAAQAgAAAAIgAAAGRy&#10;cy9kb3ducmV2LnhtbFBLAQIUABQAAAAIAIdO4kC3cNfaPgIAAGAEAAAOAAAAAAAAAAEAIAAAACcB&#10;AABkcnMvZTJvRG9jLnhtbFBLBQYAAAAABgAGAFkBAADX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 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635" b="1270"/>
          <wp:wrapNone/>
          <wp:docPr id="4" name="图片 4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11430" b="11430"/>
          <wp:wrapNone/>
          <wp:docPr id="5" name="图片 5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.55pt;margin-top:18pt;height:37.9pt;width:180pt;z-index:251661312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CJPIdq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0" b="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 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0288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 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22" name="图片 2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23" name="图片 2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图片 2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2336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POpC+1QAAAAkB&#10;AAAPAAAAAAAAAAEAIAAAACIAAABkcnMvZG93bnJldi54bWxQSwECFAAUAAAACACHTuJAzpxoUKwB&#10;AABOAwAADgAAAAAAAAABACAAAAAkAQAAZHJzL2Uyb0RvYy54bWxQSwUGAAAAAAYABgBZAQAAQgUA&#10;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11430" b="8890"/>
          <wp:wrapNone/>
          <wp:docPr id="2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bookmarkStart w:id="0" w:name="OLE_LINK1"/>
    <w:bookmarkStart w:id="1" w:name="OLE_LINK2"/>
    <w:r>
      <w:rPr>
        <w:b/>
        <w:bCs/>
        <w:sz w:val="24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2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0"/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2ED06A"/>
    <w:multiLevelType w:val="singleLevel"/>
    <w:tmpl w:val="D42ED06A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DA91615F"/>
    <w:multiLevelType w:val="singleLevel"/>
    <w:tmpl w:val="DA91615F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96"/>
    <w:rsid w:val="00001013"/>
    <w:rsid w:val="0002705A"/>
    <w:rsid w:val="00046625"/>
    <w:rsid w:val="00046A29"/>
    <w:rsid w:val="00061A12"/>
    <w:rsid w:val="00065609"/>
    <w:rsid w:val="0007769E"/>
    <w:rsid w:val="000A2268"/>
    <w:rsid w:val="000B4437"/>
    <w:rsid w:val="000C3975"/>
    <w:rsid w:val="000E0AA4"/>
    <w:rsid w:val="00145396"/>
    <w:rsid w:val="00173E91"/>
    <w:rsid w:val="001910CD"/>
    <w:rsid w:val="001A356B"/>
    <w:rsid w:val="001B1B3E"/>
    <w:rsid w:val="001B1FF2"/>
    <w:rsid w:val="001B5485"/>
    <w:rsid w:val="001C3B7F"/>
    <w:rsid w:val="001D3BC0"/>
    <w:rsid w:val="001F03C8"/>
    <w:rsid w:val="001F25EB"/>
    <w:rsid w:val="001F39FD"/>
    <w:rsid w:val="001F4880"/>
    <w:rsid w:val="001F71D7"/>
    <w:rsid w:val="00204D1A"/>
    <w:rsid w:val="00221F9B"/>
    <w:rsid w:val="00227053"/>
    <w:rsid w:val="0023143A"/>
    <w:rsid w:val="002319A3"/>
    <w:rsid w:val="00277050"/>
    <w:rsid w:val="0028322B"/>
    <w:rsid w:val="00290511"/>
    <w:rsid w:val="00291F3B"/>
    <w:rsid w:val="002B4CB8"/>
    <w:rsid w:val="002C3FB9"/>
    <w:rsid w:val="002E449F"/>
    <w:rsid w:val="003268D5"/>
    <w:rsid w:val="00332B6C"/>
    <w:rsid w:val="00334322"/>
    <w:rsid w:val="003350D2"/>
    <w:rsid w:val="00374D5C"/>
    <w:rsid w:val="00377783"/>
    <w:rsid w:val="003B4552"/>
    <w:rsid w:val="003B4846"/>
    <w:rsid w:val="003C2DBE"/>
    <w:rsid w:val="003D4E05"/>
    <w:rsid w:val="003D4FEE"/>
    <w:rsid w:val="003D5996"/>
    <w:rsid w:val="004031EE"/>
    <w:rsid w:val="00411972"/>
    <w:rsid w:val="00437EEB"/>
    <w:rsid w:val="00456CAE"/>
    <w:rsid w:val="00475C44"/>
    <w:rsid w:val="00487D00"/>
    <w:rsid w:val="0049487E"/>
    <w:rsid w:val="004A078D"/>
    <w:rsid w:val="004A5CDA"/>
    <w:rsid w:val="004B43AD"/>
    <w:rsid w:val="004E2EE3"/>
    <w:rsid w:val="004F1D13"/>
    <w:rsid w:val="0051416C"/>
    <w:rsid w:val="00532D07"/>
    <w:rsid w:val="00574A9E"/>
    <w:rsid w:val="005C2CDF"/>
    <w:rsid w:val="005C73E9"/>
    <w:rsid w:val="005E6420"/>
    <w:rsid w:val="006001FF"/>
    <w:rsid w:val="00602834"/>
    <w:rsid w:val="006057E7"/>
    <w:rsid w:val="006107FB"/>
    <w:rsid w:val="006127C6"/>
    <w:rsid w:val="00631B41"/>
    <w:rsid w:val="00647371"/>
    <w:rsid w:val="00647786"/>
    <w:rsid w:val="006979C7"/>
    <w:rsid w:val="006E35A0"/>
    <w:rsid w:val="006E720B"/>
    <w:rsid w:val="006F0BEC"/>
    <w:rsid w:val="00703C5E"/>
    <w:rsid w:val="007160D0"/>
    <w:rsid w:val="00725047"/>
    <w:rsid w:val="007317E0"/>
    <w:rsid w:val="00731FE5"/>
    <w:rsid w:val="00742321"/>
    <w:rsid w:val="0076001E"/>
    <w:rsid w:val="00792D35"/>
    <w:rsid w:val="00797896"/>
    <w:rsid w:val="0085259D"/>
    <w:rsid w:val="00852827"/>
    <w:rsid w:val="00861B54"/>
    <w:rsid w:val="00874206"/>
    <w:rsid w:val="00887953"/>
    <w:rsid w:val="008917E0"/>
    <w:rsid w:val="008B0916"/>
    <w:rsid w:val="008D2AB5"/>
    <w:rsid w:val="008F4DA8"/>
    <w:rsid w:val="00903F7F"/>
    <w:rsid w:val="009070D8"/>
    <w:rsid w:val="00913732"/>
    <w:rsid w:val="00934A1F"/>
    <w:rsid w:val="00967DB9"/>
    <w:rsid w:val="00974F81"/>
    <w:rsid w:val="00984FC7"/>
    <w:rsid w:val="009A12F0"/>
    <w:rsid w:val="009E20F4"/>
    <w:rsid w:val="009F0954"/>
    <w:rsid w:val="00A02F26"/>
    <w:rsid w:val="00A27283"/>
    <w:rsid w:val="00A971DE"/>
    <w:rsid w:val="00AB7874"/>
    <w:rsid w:val="00AD1704"/>
    <w:rsid w:val="00B336D4"/>
    <w:rsid w:val="00B712D7"/>
    <w:rsid w:val="00B7141A"/>
    <w:rsid w:val="00B9037E"/>
    <w:rsid w:val="00B97396"/>
    <w:rsid w:val="00B97B93"/>
    <w:rsid w:val="00BB1740"/>
    <w:rsid w:val="00BC1B69"/>
    <w:rsid w:val="00BC3C4A"/>
    <w:rsid w:val="00BE2EDD"/>
    <w:rsid w:val="00BF2675"/>
    <w:rsid w:val="00C01036"/>
    <w:rsid w:val="00C102F5"/>
    <w:rsid w:val="00C11776"/>
    <w:rsid w:val="00C258EF"/>
    <w:rsid w:val="00C3133D"/>
    <w:rsid w:val="00C65C82"/>
    <w:rsid w:val="00C76D9E"/>
    <w:rsid w:val="00C91551"/>
    <w:rsid w:val="00C9425B"/>
    <w:rsid w:val="00CA7EEF"/>
    <w:rsid w:val="00CD5E17"/>
    <w:rsid w:val="00D13B34"/>
    <w:rsid w:val="00D3264D"/>
    <w:rsid w:val="00D35104"/>
    <w:rsid w:val="00D352AB"/>
    <w:rsid w:val="00D42637"/>
    <w:rsid w:val="00D55E8B"/>
    <w:rsid w:val="00D72788"/>
    <w:rsid w:val="00D96E66"/>
    <w:rsid w:val="00DA5820"/>
    <w:rsid w:val="00DD4741"/>
    <w:rsid w:val="00DD51EB"/>
    <w:rsid w:val="00DE12EA"/>
    <w:rsid w:val="00E20043"/>
    <w:rsid w:val="00E913BC"/>
    <w:rsid w:val="00E96FF7"/>
    <w:rsid w:val="00EA65F4"/>
    <w:rsid w:val="00EB2A13"/>
    <w:rsid w:val="00EB4E7C"/>
    <w:rsid w:val="00F066CC"/>
    <w:rsid w:val="00F13B70"/>
    <w:rsid w:val="00F21807"/>
    <w:rsid w:val="00F32CB3"/>
    <w:rsid w:val="00F636F7"/>
    <w:rsid w:val="00F70144"/>
    <w:rsid w:val="00F83ECB"/>
    <w:rsid w:val="00F90437"/>
    <w:rsid w:val="00F92394"/>
    <w:rsid w:val="00F932BA"/>
    <w:rsid w:val="00FA0153"/>
    <w:rsid w:val="00FB0020"/>
    <w:rsid w:val="016B4D53"/>
    <w:rsid w:val="01703873"/>
    <w:rsid w:val="017D0FF0"/>
    <w:rsid w:val="01DF1590"/>
    <w:rsid w:val="02200EF0"/>
    <w:rsid w:val="02A84BCF"/>
    <w:rsid w:val="02CF1D14"/>
    <w:rsid w:val="02DE76FB"/>
    <w:rsid w:val="02EB642F"/>
    <w:rsid w:val="02F92405"/>
    <w:rsid w:val="045B4CF1"/>
    <w:rsid w:val="04747D8B"/>
    <w:rsid w:val="04960F61"/>
    <w:rsid w:val="074249A1"/>
    <w:rsid w:val="083D0A84"/>
    <w:rsid w:val="08431367"/>
    <w:rsid w:val="08905DEA"/>
    <w:rsid w:val="08F30E42"/>
    <w:rsid w:val="0BE54CDF"/>
    <w:rsid w:val="0C6D57B1"/>
    <w:rsid w:val="0D61146E"/>
    <w:rsid w:val="0EA50B2F"/>
    <w:rsid w:val="0F506288"/>
    <w:rsid w:val="0F6502B5"/>
    <w:rsid w:val="0FA870FF"/>
    <w:rsid w:val="10B05EB1"/>
    <w:rsid w:val="10C13A98"/>
    <w:rsid w:val="1278056A"/>
    <w:rsid w:val="130F48EA"/>
    <w:rsid w:val="14322A15"/>
    <w:rsid w:val="14553298"/>
    <w:rsid w:val="14BB7E9B"/>
    <w:rsid w:val="16EC5ED7"/>
    <w:rsid w:val="17244538"/>
    <w:rsid w:val="18D43CAD"/>
    <w:rsid w:val="19FB4AE6"/>
    <w:rsid w:val="1A1E6661"/>
    <w:rsid w:val="1A923BC1"/>
    <w:rsid w:val="1BB4785E"/>
    <w:rsid w:val="1D7D5F2B"/>
    <w:rsid w:val="1D8C39DD"/>
    <w:rsid w:val="1D9F02FE"/>
    <w:rsid w:val="1F424582"/>
    <w:rsid w:val="1FB345F0"/>
    <w:rsid w:val="20831559"/>
    <w:rsid w:val="20A31F71"/>
    <w:rsid w:val="20FC0300"/>
    <w:rsid w:val="22167C09"/>
    <w:rsid w:val="22180E79"/>
    <w:rsid w:val="22D70ABA"/>
    <w:rsid w:val="235A1750"/>
    <w:rsid w:val="2373674B"/>
    <w:rsid w:val="23AC318F"/>
    <w:rsid w:val="25BC03D6"/>
    <w:rsid w:val="27B91510"/>
    <w:rsid w:val="29350D92"/>
    <w:rsid w:val="29977630"/>
    <w:rsid w:val="2AA745F9"/>
    <w:rsid w:val="2B815D23"/>
    <w:rsid w:val="2BE229C4"/>
    <w:rsid w:val="2C013EE6"/>
    <w:rsid w:val="2C0E183C"/>
    <w:rsid w:val="2CFA0F36"/>
    <w:rsid w:val="2E242E6D"/>
    <w:rsid w:val="2E6F34D0"/>
    <w:rsid w:val="2EFF331D"/>
    <w:rsid w:val="300E3C30"/>
    <w:rsid w:val="31366350"/>
    <w:rsid w:val="32246AF9"/>
    <w:rsid w:val="32303B7F"/>
    <w:rsid w:val="32974ED7"/>
    <w:rsid w:val="32FD786D"/>
    <w:rsid w:val="337D06DB"/>
    <w:rsid w:val="33A57657"/>
    <w:rsid w:val="346B356F"/>
    <w:rsid w:val="356E6C4E"/>
    <w:rsid w:val="35941629"/>
    <w:rsid w:val="35C4753D"/>
    <w:rsid w:val="360F44D7"/>
    <w:rsid w:val="3695604D"/>
    <w:rsid w:val="36CE215A"/>
    <w:rsid w:val="37EA45BB"/>
    <w:rsid w:val="3964424A"/>
    <w:rsid w:val="39834651"/>
    <w:rsid w:val="39D364C0"/>
    <w:rsid w:val="39DE2C1E"/>
    <w:rsid w:val="3B601660"/>
    <w:rsid w:val="3BC30BB9"/>
    <w:rsid w:val="3BCD06BF"/>
    <w:rsid w:val="3BFF444A"/>
    <w:rsid w:val="3D797630"/>
    <w:rsid w:val="3EC34CF8"/>
    <w:rsid w:val="3EE75CC4"/>
    <w:rsid w:val="3F5008F3"/>
    <w:rsid w:val="3F6E6858"/>
    <w:rsid w:val="3F910FF8"/>
    <w:rsid w:val="4116529B"/>
    <w:rsid w:val="422410D1"/>
    <w:rsid w:val="42D95BD7"/>
    <w:rsid w:val="432C7CCA"/>
    <w:rsid w:val="44310C4E"/>
    <w:rsid w:val="486D0F47"/>
    <w:rsid w:val="487772BB"/>
    <w:rsid w:val="48B667D5"/>
    <w:rsid w:val="49E445E7"/>
    <w:rsid w:val="4A87082B"/>
    <w:rsid w:val="4ACE4AE7"/>
    <w:rsid w:val="4AD712A1"/>
    <w:rsid w:val="4B5F3CC6"/>
    <w:rsid w:val="4B86765A"/>
    <w:rsid w:val="4B96657B"/>
    <w:rsid w:val="4C072C7D"/>
    <w:rsid w:val="4CED59F4"/>
    <w:rsid w:val="4DC16073"/>
    <w:rsid w:val="51D320FE"/>
    <w:rsid w:val="528434CA"/>
    <w:rsid w:val="52AF2B74"/>
    <w:rsid w:val="53A943F8"/>
    <w:rsid w:val="5439293B"/>
    <w:rsid w:val="548D1558"/>
    <w:rsid w:val="54E34FF7"/>
    <w:rsid w:val="57CB26D3"/>
    <w:rsid w:val="596E6714"/>
    <w:rsid w:val="5B1467FA"/>
    <w:rsid w:val="5BDF0825"/>
    <w:rsid w:val="5C52217C"/>
    <w:rsid w:val="5D0706F5"/>
    <w:rsid w:val="5D736C04"/>
    <w:rsid w:val="5E3E3134"/>
    <w:rsid w:val="5E905EE1"/>
    <w:rsid w:val="5F213D71"/>
    <w:rsid w:val="5F21744C"/>
    <w:rsid w:val="61BC0141"/>
    <w:rsid w:val="62556C9E"/>
    <w:rsid w:val="62AC44CC"/>
    <w:rsid w:val="63123EB1"/>
    <w:rsid w:val="655578D7"/>
    <w:rsid w:val="65BD6235"/>
    <w:rsid w:val="68897E12"/>
    <w:rsid w:val="6A12230F"/>
    <w:rsid w:val="6AAA3158"/>
    <w:rsid w:val="6AD7438F"/>
    <w:rsid w:val="6BAA4047"/>
    <w:rsid w:val="6BC45E71"/>
    <w:rsid w:val="6BF7583C"/>
    <w:rsid w:val="6E3F4A15"/>
    <w:rsid w:val="72887E9A"/>
    <w:rsid w:val="72E9783D"/>
    <w:rsid w:val="72EF31ED"/>
    <w:rsid w:val="749B06A2"/>
    <w:rsid w:val="75A13FE2"/>
    <w:rsid w:val="767170ED"/>
    <w:rsid w:val="77D0513F"/>
    <w:rsid w:val="78261117"/>
    <w:rsid w:val="782827F7"/>
    <w:rsid w:val="78673EF9"/>
    <w:rsid w:val="78DE2301"/>
    <w:rsid w:val="7E5100F0"/>
    <w:rsid w:val="7FA04364"/>
    <w:rsid w:val="7FA9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rPr>
      <w:rFonts w:ascii="Arial Unicode MS" w:hAnsi="Arial Unicode MS" w:eastAsia="Arial Unicode MS" w:cs="Arial Unicode MS"/>
      <w:sz w:val="16"/>
      <w:szCs w:val="16"/>
      <w:lang w:eastAsia="en-US" w:bidi="en-US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character" w:customStyle="1" w:styleId="16">
    <w:name w:val="正文文本 字符"/>
    <w:basedOn w:val="8"/>
    <w:link w:val="2"/>
    <w:qFormat/>
    <w:uiPriority w:val="1"/>
    <w:rPr>
      <w:rFonts w:ascii="Arial Unicode MS" w:hAnsi="Arial Unicode MS" w:eastAsia="Arial Unicode MS" w:cs="Arial Unicode MS"/>
      <w:sz w:val="16"/>
      <w:szCs w:val="16"/>
      <w:lang w:eastAsia="en-US" w:bidi="en-US"/>
    </w:rPr>
  </w:style>
  <w:style w:type="paragraph" w:customStyle="1" w:styleId="17">
    <w:name w:val="Table Paragraph"/>
    <w:basedOn w:val="1"/>
    <w:qFormat/>
    <w:uiPriority w:val="1"/>
    <w:pPr>
      <w:ind w:left="68"/>
    </w:pPr>
    <w:rPr>
      <w:rFonts w:ascii="Arial Unicode MS" w:hAnsi="Arial Unicode MS" w:eastAsia="Arial Unicode MS" w:cs="Arial Unicode MS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534F84-6335-4CDE-9E45-FC1219FA7B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2647</Characters>
  <Lines>22</Lines>
  <Paragraphs>6</Paragraphs>
  <TotalTime>1</TotalTime>
  <ScaleCrop>false</ScaleCrop>
  <LinksUpToDate>false</LinksUpToDate>
  <CharactersWithSpaces>3105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2020-07-15T04:14:00Z</dcterms:created>
  <dc:creator>Li Tingting</dc:creator>
  <cp:lastModifiedBy>晨起絮飞</cp:lastModifiedBy>
  <cp:lastPrinted>2020-05-05T05:57:00Z</cp:lastPrinted>
  <dcterms:modified xsi:type="dcterms:W3CDTF">2020-10-27T09:02:39Z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